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rPr>
          <w:color w:val="82A000"/>
        </w:rPr>
        <w:t>DEMAND MO</w:t>
      </w:r>
    </w:p>
    <w:p>
      <w:pPr>
        <w:pStyle w:val="Title"/>
      </w:pPr>
      <w:r>
        <w:t>Customer Onboarding System (COS)</w:t>
      </w:r>
    </w:p>
    <w:p>
      <w:pPr>
        <w:pStyle w:val="Subtitle"/>
      </w:pPr>
      <w:r>
        <w:t>A repeatable operating system for activating new Demand Mo users and teams.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4000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ll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Production guide • Version 1.0 • 17 August 2026</w:t>
      </w:r>
    </w:p>
    <w:p>
      <w:r>
        <w:br w:type="page"/>
      </w:r>
    </w:p>
    <w:p>
      <w:pPr>
        <w:pStyle w:val="Heading1"/>
      </w:pPr>
      <w:r>
        <w:t>Purpose and graduation standard</w:t>
      </w:r>
    </w:p>
    <w:p>
      <w:r>
        <w:t>The COS moves a user from orientation to a repeatable weekly demand-intelligence workflow. A user graduates when they can create a Demand Profile, interpret evidence, use Ask Mo, explain why an opportunity matters now, and document a responsible next action.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B9FF22"/>
          </w:tcPr>
          <w:p>
            <w:r>
              <w:t>Audience</w:t>
            </w:r>
          </w:p>
        </w:tc>
        <w:tc>
          <w:tcPr>
            <w:tcW w:type="dxa" w:w="3360"/>
            <w:shd w:fill="B9FF22"/>
          </w:tcPr>
          <w:p>
            <w:r>
              <w:t>Primary job</w:t>
            </w:r>
          </w:p>
        </w:tc>
        <w:tc>
          <w:tcPr>
            <w:tcW w:type="dxa" w:w="3360"/>
            <w:shd w:fill="B9FF22"/>
          </w:tcPr>
          <w:p>
            <w:r>
              <w:t>Graduation evidence</w:t>
            </w:r>
          </w:p>
        </w:tc>
      </w:tr>
      <w:tr>
        <w:tc>
          <w:tcPr>
            <w:tcW w:type="dxa" w:w="3360"/>
            <w:vAlign w:val="center"/>
          </w:tcPr>
          <w:p>
            <w:r>
              <w:t>New user</w:t>
            </w:r>
          </w:p>
        </w:tc>
        <w:tc>
          <w:tcPr>
            <w:tcW w:type="dxa" w:w="3360"/>
            <w:vAlign w:val="center"/>
          </w:tcPr>
          <w:p>
            <w:r>
              <w:t>Find and understand qualified demand</w:t>
            </w:r>
          </w:p>
        </w:tc>
        <w:tc>
          <w:tcPr>
            <w:tcW w:type="dxa" w:w="3360"/>
            <w:vAlign w:val="center"/>
          </w:tcPr>
          <w:p>
            <w:r>
              <w:t>Saved profile + one evidence-led opportunity brief</w:t>
            </w:r>
          </w:p>
        </w:tc>
      </w:tr>
      <w:tr>
        <w:tc>
          <w:tcPr>
            <w:tcW w:type="dxa" w:w="3360"/>
            <w:vAlign w:val="center"/>
          </w:tcPr>
          <w:p>
            <w:r>
              <w:t>Sales / BD</w:t>
            </w:r>
          </w:p>
        </w:tc>
        <w:tc>
          <w:tcPr>
            <w:tcW w:type="dxa" w:w="3360"/>
            <w:vAlign w:val="center"/>
          </w:tcPr>
          <w:p>
            <w:r>
              <w:t>Prioritize outreach</w:t>
            </w:r>
          </w:p>
        </w:tc>
        <w:tc>
          <w:tcPr>
            <w:tcW w:type="dxa" w:w="3360"/>
            <w:vAlign w:val="center"/>
          </w:tcPr>
          <w:p>
            <w:r>
              <w:t>A researched account and defensible next step</w:t>
            </w:r>
          </w:p>
        </w:tc>
      </w:tr>
      <w:tr>
        <w:tc>
          <w:tcPr>
            <w:tcW w:type="dxa" w:w="3360"/>
            <w:vAlign w:val="center"/>
          </w:tcPr>
          <w:p>
            <w:r>
              <w:t>Manager</w:t>
            </w:r>
          </w:p>
        </w:tc>
        <w:tc>
          <w:tcPr>
            <w:tcW w:type="dxa" w:w="3360"/>
            <w:vAlign w:val="center"/>
          </w:tcPr>
          <w:p>
            <w:r>
              <w:t>Set standards and coach usage</w:t>
            </w:r>
          </w:p>
        </w:tc>
        <w:tc>
          <w:tcPr>
            <w:tcW w:type="dxa" w:w="3360"/>
            <w:vAlign w:val="center"/>
          </w:tcPr>
          <w:p>
            <w:r>
              <w:t>Quality review and weekly operating cadence</w:t>
            </w:r>
          </w:p>
        </w:tc>
      </w:tr>
      <w:tr>
        <w:tc>
          <w:tcPr>
            <w:tcW w:type="dxa" w:w="3360"/>
            <w:vAlign w:val="center"/>
          </w:tcPr>
          <w:p>
            <w:r>
              <w:t>Administrator</w:t>
            </w:r>
          </w:p>
        </w:tc>
        <w:tc>
          <w:tcPr>
            <w:tcW w:type="dxa" w:w="3360"/>
            <w:vAlign w:val="center"/>
          </w:tcPr>
          <w:p>
            <w:r>
              <w:t>Control access, policy, and integrations</w:t>
            </w:r>
          </w:p>
        </w:tc>
        <w:tc>
          <w:tcPr>
            <w:tcW w:type="dxa" w:w="3360"/>
            <w:vAlign w:val="center"/>
          </w:tcPr>
          <w:p>
            <w:r>
              <w:t>Approved sources, roles, retention, and command scope</w:t>
            </w:r>
          </w:p>
        </w:tc>
      </w:tr>
    </w:tbl>
    <w:p>
      <w:pPr>
        <w:pStyle w:val="Heading1"/>
      </w:pPr>
      <w:r>
        <w:t>Learning outcomes</w:t>
      </w:r>
    </w:p>
    <w:p>
      <w:pPr>
        <w:pStyle w:val="ListBullet"/>
      </w:pPr>
      <w:r>
        <w:t>Describe what Demand Mo does—and what it does not do.</w:t>
      </w:r>
    </w:p>
    <w:p>
      <w:pPr>
        <w:pStyle w:val="ListBullet"/>
      </w:pPr>
      <w:r>
        <w:t>Build a Demand Profile using offer, market, buyer, geography, and signal criteria.</w:t>
      </w:r>
    </w:p>
    <w:p>
      <w:pPr>
        <w:pStyle w:val="ListBullet"/>
      </w:pPr>
      <w:r>
        <w:t>Separate raw signals from verified evidence and clearly label uncertainty.</w:t>
      </w:r>
    </w:p>
    <w:p>
      <w:pPr>
        <w:pStyle w:val="ListBullet"/>
      </w:pPr>
      <w:r>
        <w:t>Use Ask Mo for product guidance without assuming it is a general-purpose autonomous agent.</w:t>
      </w:r>
    </w:p>
    <w:p>
      <w:pPr>
        <w:pStyle w:val="ListBullet"/>
      </w:pPr>
      <w:r>
        <w:t>Apply the seven-question Opportunity Reasoning Engine consistently.</w:t>
      </w:r>
    </w:p>
    <w:p>
      <w:pPr>
        <w:pStyle w:val="ListBullet"/>
      </w:pPr>
      <w:r>
        <w:t>Operate within privacy, licensing, source-terms, and human-approval requirements.</w:t>
      </w:r>
    </w:p>
    <w:p>
      <w:pPr>
        <w:pStyle w:val="Heading1"/>
      </w:pPr>
      <w:r>
        <w:t>Onboarding journey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B9FF22"/>
          </w:tcPr>
          <w:p>
            <w:r>
              <w:t>Stage</w:t>
            </w:r>
          </w:p>
        </w:tc>
        <w:tc>
          <w:tcPr>
            <w:tcW w:type="dxa" w:w="2016"/>
            <w:shd w:fill="B9FF22"/>
          </w:tcPr>
          <w:p>
            <w:r>
              <w:t>Timing</w:t>
            </w:r>
          </w:p>
        </w:tc>
        <w:tc>
          <w:tcPr>
            <w:tcW w:type="dxa" w:w="2016"/>
            <w:shd w:fill="B9FF22"/>
          </w:tcPr>
          <w:p>
            <w:r>
              <w:t>Owner</w:t>
            </w:r>
          </w:p>
        </w:tc>
        <w:tc>
          <w:tcPr>
            <w:tcW w:type="dxa" w:w="2016"/>
            <w:shd w:fill="B9FF22"/>
          </w:tcPr>
          <w:p>
            <w:r>
              <w:t>Activity</w:t>
            </w:r>
          </w:p>
        </w:tc>
        <w:tc>
          <w:tcPr>
            <w:tcW w:type="dxa" w:w="2016"/>
            <w:shd w:fill="B9FF22"/>
          </w:tcPr>
          <w:p>
            <w:r>
              <w:t>Pass condition</w:t>
            </w:r>
          </w:p>
        </w:tc>
      </w:tr>
      <w:tr>
        <w:tc>
          <w:tcPr>
            <w:tcW w:type="dxa" w:w="2016"/>
            <w:vAlign w:val="center"/>
          </w:tcPr>
          <w:p>
            <w:r>
              <w:t>0. Prepare</w:t>
            </w:r>
          </w:p>
        </w:tc>
        <w:tc>
          <w:tcPr>
            <w:tcW w:type="dxa" w:w="2016"/>
            <w:vAlign w:val="center"/>
          </w:tcPr>
          <w:p>
            <w:r>
              <w:t>Before Day 1</w:t>
            </w:r>
          </w:p>
        </w:tc>
        <w:tc>
          <w:tcPr>
            <w:tcW w:type="dxa" w:w="2016"/>
            <w:vAlign w:val="center"/>
          </w:tcPr>
          <w:p>
            <w:r>
              <w:t>Admin</w:t>
            </w:r>
          </w:p>
        </w:tc>
        <w:tc>
          <w:tcPr>
            <w:tcW w:type="dxa" w:w="2016"/>
            <w:vAlign w:val="center"/>
          </w:tcPr>
          <w:p>
            <w:r>
              <w:t>Approve audience, data sources, roles, command permissions</w:t>
            </w:r>
          </w:p>
        </w:tc>
        <w:tc>
          <w:tcPr>
            <w:tcW w:type="dxa" w:w="2016"/>
            <w:vAlign w:val="center"/>
          </w:tcPr>
          <w:p>
            <w:r>
              <w:t>Workspace and policy ready</w:t>
            </w:r>
          </w:p>
        </w:tc>
      </w:tr>
      <w:tr>
        <w:tc>
          <w:tcPr>
            <w:tcW w:type="dxa" w:w="2016"/>
            <w:vAlign w:val="center"/>
          </w:tcPr>
          <w:p>
            <w:r>
              <w:t>1. Orient</w:t>
            </w:r>
          </w:p>
        </w:tc>
        <w:tc>
          <w:tcPr>
            <w:tcW w:type="dxa" w:w="2016"/>
            <w:vAlign w:val="center"/>
          </w:tcPr>
          <w:p>
            <w:r>
              <w:t>Day 1 · 15 min</w:t>
            </w:r>
          </w:p>
        </w:tc>
        <w:tc>
          <w:tcPr>
            <w:tcW w:type="dxa" w:w="2016"/>
            <w:vAlign w:val="center"/>
          </w:tcPr>
          <w:p>
            <w:r>
              <w:t>Champion</w:t>
            </w:r>
          </w:p>
        </w:tc>
        <w:tc>
          <w:tcPr>
            <w:tcW w:type="dxa" w:w="2016"/>
            <w:vAlign w:val="center"/>
          </w:tcPr>
          <w:p>
            <w:r>
              <w:t>Tour value proposition, navigation, Ask Mo</w:t>
            </w:r>
          </w:p>
        </w:tc>
        <w:tc>
          <w:tcPr>
            <w:tcW w:type="dxa" w:w="2016"/>
            <w:vAlign w:val="center"/>
          </w:tcPr>
          <w:p>
            <w:r>
              <w:t>User can locate every primary control</w:t>
            </w:r>
          </w:p>
        </w:tc>
      </w:tr>
      <w:tr>
        <w:tc>
          <w:tcPr>
            <w:tcW w:type="dxa" w:w="2016"/>
            <w:vAlign w:val="center"/>
          </w:tcPr>
          <w:p>
            <w:r>
              <w:t>2. Profile</w:t>
            </w:r>
          </w:p>
        </w:tc>
        <w:tc>
          <w:tcPr>
            <w:tcW w:type="dxa" w:w="2016"/>
            <w:vAlign w:val="center"/>
          </w:tcPr>
          <w:p>
            <w:r>
              <w:t>Day 1 · 20 min</w:t>
            </w:r>
          </w:p>
        </w:tc>
        <w:tc>
          <w:tcPr>
            <w:tcW w:type="dxa" w:w="2016"/>
            <w:vAlign w:val="center"/>
          </w:tcPr>
          <w:p>
            <w:r>
              <w:t>User</w:t>
            </w:r>
          </w:p>
        </w:tc>
        <w:tc>
          <w:tcPr>
            <w:tcW w:type="dxa" w:w="2016"/>
            <w:vAlign w:val="center"/>
          </w:tcPr>
          <w:p>
            <w:r>
              <w:t>Create first Demand Profile</w:t>
            </w:r>
          </w:p>
        </w:tc>
        <w:tc>
          <w:tcPr>
            <w:tcW w:type="dxa" w:w="2016"/>
            <w:vAlign w:val="center"/>
          </w:tcPr>
          <w:p>
            <w:r>
              <w:t>Reference ID recorded</w:t>
            </w:r>
          </w:p>
        </w:tc>
      </w:tr>
      <w:tr>
        <w:tc>
          <w:tcPr>
            <w:tcW w:type="dxa" w:w="2016"/>
            <w:vAlign w:val="center"/>
          </w:tcPr>
          <w:p>
            <w:r>
              <w:t>3. Evidence</w:t>
            </w:r>
          </w:p>
        </w:tc>
        <w:tc>
          <w:tcPr>
            <w:tcW w:type="dxa" w:w="2016"/>
            <w:vAlign w:val="center"/>
          </w:tcPr>
          <w:p>
            <w:r>
              <w:t>Day 2 · 30 min</w:t>
            </w:r>
          </w:p>
        </w:tc>
        <w:tc>
          <w:tcPr>
            <w:tcW w:type="dxa" w:w="2016"/>
            <w:vAlign w:val="center"/>
          </w:tcPr>
          <w:p>
            <w:r>
              <w:t>Coach</w:t>
            </w:r>
          </w:p>
        </w:tc>
        <w:tc>
          <w:tcPr>
            <w:tcW w:type="dxa" w:w="2016"/>
            <w:vAlign w:val="center"/>
          </w:tcPr>
          <w:p>
            <w:r>
              <w:t>Review source, recency, corroboration, confidence</w:t>
            </w:r>
          </w:p>
        </w:tc>
        <w:tc>
          <w:tcPr>
            <w:tcW w:type="dxa" w:w="2016"/>
            <w:vAlign w:val="center"/>
          </w:tcPr>
          <w:p>
            <w:r>
              <w:t>User explains evidence chain</w:t>
            </w:r>
          </w:p>
        </w:tc>
      </w:tr>
      <w:tr>
        <w:tc>
          <w:tcPr>
            <w:tcW w:type="dxa" w:w="2016"/>
            <w:vAlign w:val="center"/>
          </w:tcPr>
          <w:p>
            <w:r>
              <w:t>4. Reason</w:t>
            </w:r>
          </w:p>
        </w:tc>
        <w:tc>
          <w:tcPr>
            <w:tcW w:type="dxa" w:w="2016"/>
            <w:vAlign w:val="center"/>
          </w:tcPr>
          <w:p>
            <w:r>
              <w:t>Day 2 · 30 min</w:t>
            </w:r>
          </w:p>
        </w:tc>
        <w:tc>
          <w:tcPr>
            <w:tcW w:type="dxa" w:w="2016"/>
            <w:vAlign w:val="center"/>
          </w:tcPr>
          <w:p>
            <w:r>
              <w:t>User</w:t>
            </w:r>
          </w:p>
        </w:tc>
        <w:tc>
          <w:tcPr>
            <w:tcW w:type="dxa" w:w="2016"/>
            <w:vAlign w:val="center"/>
          </w:tcPr>
          <w:p>
            <w:r>
              <w:t>Answer seven opportunity questions</w:t>
            </w:r>
          </w:p>
        </w:tc>
        <w:tc>
          <w:tcPr>
            <w:tcW w:type="dxa" w:w="2016"/>
            <w:vAlign w:val="center"/>
          </w:tcPr>
          <w:p>
            <w:r>
              <w:t>Brief is complete and traceable</w:t>
            </w:r>
          </w:p>
        </w:tc>
      </w:tr>
      <w:tr>
        <w:tc>
          <w:tcPr>
            <w:tcW w:type="dxa" w:w="2016"/>
            <w:vAlign w:val="center"/>
          </w:tcPr>
          <w:p>
            <w:r>
              <w:t>5. Act</w:t>
            </w:r>
          </w:p>
        </w:tc>
        <w:tc>
          <w:tcPr>
            <w:tcW w:type="dxa" w:w="2016"/>
            <w:vAlign w:val="center"/>
          </w:tcPr>
          <w:p>
            <w:r>
              <w:t>Day 3</w:t>
            </w:r>
          </w:p>
        </w:tc>
        <w:tc>
          <w:tcPr>
            <w:tcW w:type="dxa" w:w="2016"/>
            <w:vAlign w:val="center"/>
          </w:tcPr>
          <w:p>
            <w:r>
              <w:t>User + manager</w:t>
            </w:r>
          </w:p>
        </w:tc>
        <w:tc>
          <w:tcPr>
            <w:tcW w:type="dxa" w:w="2016"/>
            <w:vAlign w:val="center"/>
          </w:tcPr>
          <w:p>
            <w:r>
              <w:t>Choose a proportionate human-approved next step</w:t>
            </w:r>
          </w:p>
        </w:tc>
        <w:tc>
          <w:tcPr>
            <w:tcW w:type="dxa" w:w="2016"/>
            <w:vAlign w:val="center"/>
          </w:tcPr>
          <w:p>
            <w:r>
              <w:t>Action and owner assigned</w:t>
            </w:r>
          </w:p>
        </w:tc>
      </w:tr>
      <w:tr>
        <w:tc>
          <w:tcPr>
            <w:tcW w:type="dxa" w:w="2016"/>
            <w:vAlign w:val="center"/>
          </w:tcPr>
          <w:p>
            <w:r>
              <w:t>6. Embed</w:t>
            </w:r>
          </w:p>
        </w:tc>
        <w:tc>
          <w:tcPr>
            <w:tcW w:type="dxa" w:w="2016"/>
            <w:vAlign w:val="center"/>
          </w:tcPr>
          <w:p>
            <w:r>
              <w:t>Days 4–7</w:t>
            </w:r>
          </w:p>
        </w:tc>
        <w:tc>
          <w:tcPr>
            <w:tcW w:type="dxa" w:w="2016"/>
            <w:vAlign w:val="center"/>
          </w:tcPr>
          <w:p>
            <w:r>
              <w:t>Manager</w:t>
            </w:r>
          </w:p>
        </w:tc>
        <w:tc>
          <w:tcPr>
            <w:tcW w:type="dxa" w:w="2016"/>
            <w:vAlign w:val="center"/>
          </w:tcPr>
          <w:p>
            <w:r>
              <w:t>Run first weekly review</w:t>
            </w:r>
          </w:p>
        </w:tc>
        <w:tc>
          <w:tcPr>
            <w:tcW w:type="dxa" w:w="2016"/>
            <w:vAlign w:val="center"/>
          </w:tcPr>
          <w:p>
            <w:r>
              <w:t>Cadence, metrics, and escalation path agreed</w:t>
            </w:r>
          </w:p>
        </w:tc>
      </w:tr>
    </w:tbl>
    <w:p>
      <w:pPr>
        <w:pStyle w:val="Heading2"/>
      </w:pPr>
      <w:r>
        <w:t>Module 1 — Product orientation</w:t>
      </w:r>
    </w:p>
    <w:p>
      <w:r>
        <w:t>Outcome: distinguish a verified opportunity brief from a lead list. Exercise: explain the homepage promise in your own words and identify the profile and guide controls.</w:t>
      </w:r>
    </w:p>
    <w:p>
      <w:pPr>
        <w:pStyle w:val="Heading2"/>
      </w:pPr>
      <w:r>
        <w:t>Module 2 — Demand Profile</w:t>
      </w:r>
    </w:p>
    <w:p>
      <w:r>
        <w:t>Outcome: define a narrow, testable search thesis. Exercise: enter one offer, buyer problem, market, geography, signal type, and exclusion; submit and retain the DM reference.</w:t>
      </w:r>
    </w:p>
    <w:p>
      <w:pPr>
        <w:pStyle w:val="Heading2"/>
      </w:pPr>
      <w:r>
        <w:t>Module 3 — Signals and verification</w:t>
      </w:r>
    </w:p>
    <w:p>
      <w:r>
        <w:t>Outcome: assess evidence quality. Use a four-part check: source legitimacy, direct relevance, recency, and independent corroboration.</w:t>
      </w:r>
    </w:p>
    <w:p>
      <w:pPr>
        <w:pStyle w:val="Heading2"/>
      </w:pPr>
      <w:r>
        <w:t>Module 4 — Ask Mo</w:t>
      </w:r>
    </w:p>
    <w:p>
      <w:r>
        <w:t>Outcome: obtain product help. Ask one navigation question, one profile question, and one verification question; confirm that responses describe a next step rather than silently executing external actions.</w:t>
      </w:r>
    </w:p>
    <w:p>
      <w:pPr>
        <w:pStyle w:val="Heading2"/>
      </w:pPr>
      <w:r>
        <w:t>Module 5 — Opportunity reasoning</w:t>
      </w:r>
    </w:p>
    <w:p>
      <w:r>
        <w:t>Outcome: produce a brief answering: company; problem; evidence; cost; decision owner; solution; why now.</w:t>
      </w:r>
    </w:p>
    <w:p>
      <w:pPr>
        <w:pStyle w:val="Heading2"/>
      </w:pPr>
      <w:r>
        <w:t>Module 6 — Responsible action</w:t>
      </w:r>
    </w:p>
    <w:p>
      <w:r>
        <w:t>Outcome: choose outreach or investigation proportional to confidence. Never infer sensitive traits, bypass access controls, or contact people automatically without approved policy.</w:t>
      </w:r>
    </w:p>
    <w:p>
      <w:pPr>
        <w:pStyle w:val="Heading2"/>
      </w:pPr>
      <w:r>
        <w:t>Module 7 — Team operating rhythm</w:t>
      </w:r>
    </w:p>
    <w:p>
      <w:r>
        <w:t>Outcome: run a weekly 30-minute review: new profiles, evidence quality, qualified briefs, next actions, false positives, source issues, and feedback.</w:t>
      </w:r>
    </w:p>
    <w:p>
      <w:pPr>
        <w:pStyle w:val="Heading1"/>
      </w:pPr>
      <w:r>
        <w:t>Facilitator runbook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B9FF22"/>
          </w:tcPr>
          <w:p>
            <w:r>
              <w:t>Minute</w:t>
            </w:r>
          </w:p>
        </w:tc>
        <w:tc>
          <w:tcPr>
            <w:tcW w:type="dxa" w:w="3360"/>
            <w:shd w:fill="B9FF22"/>
          </w:tcPr>
          <w:p>
            <w:r>
              <w:t>Facilitator action</w:t>
            </w:r>
          </w:p>
        </w:tc>
        <w:tc>
          <w:tcPr>
            <w:tcW w:type="dxa" w:w="3360"/>
            <w:shd w:fill="B9FF22"/>
          </w:tcPr>
          <w:p>
            <w:r>
              <w:t>Participant action</w:t>
            </w:r>
          </w:p>
        </w:tc>
      </w:tr>
      <w:tr>
        <w:tc>
          <w:tcPr>
            <w:tcW w:type="dxa" w:w="3360"/>
            <w:vAlign w:val="center"/>
          </w:tcPr>
          <w:p>
            <w:r>
              <w:t>0–5</w:t>
            </w:r>
          </w:p>
        </w:tc>
        <w:tc>
          <w:tcPr>
            <w:tcW w:type="dxa" w:w="3360"/>
            <w:vAlign w:val="center"/>
          </w:tcPr>
          <w:p>
            <w:r>
              <w:t>Set outcome and boundaries</w:t>
            </w:r>
          </w:p>
        </w:tc>
        <w:tc>
          <w:tcPr>
            <w:tcW w:type="dxa" w:w="3360"/>
            <w:vAlign w:val="center"/>
          </w:tcPr>
          <w:p>
            <w:r>
              <w:t>State use case</w:t>
            </w:r>
          </w:p>
        </w:tc>
      </w:tr>
      <w:tr>
        <w:tc>
          <w:tcPr>
            <w:tcW w:type="dxa" w:w="3360"/>
            <w:vAlign w:val="center"/>
          </w:tcPr>
          <w:p>
            <w:r>
              <w:t>5–15</w:t>
            </w:r>
          </w:p>
        </w:tc>
        <w:tc>
          <w:tcPr>
            <w:tcW w:type="dxa" w:w="3360"/>
            <w:vAlign w:val="center"/>
          </w:tcPr>
          <w:p>
            <w:r>
              <w:t>Demonstrate navigation</w:t>
            </w:r>
          </w:p>
        </w:tc>
        <w:tc>
          <w:tcPr>
            <w:tcW w:type="dxa" w:w="3360"/>
            <w:vAlign w:val="center"/>
          </w:tcPr>
          <w:p>
            <w:r>
              <w:t>Follow along</w:t>
            </w:r>
          </w:p>
        </w:tc>
      </w:tr>
      <w:tr>
        <w:tc>
          <w:tcPr>
            <w:tcW w:type="dxa" w:w="3360"/>
            <w:vAlign w:val="center"/>
          </w:tcPr>
          <w:p>
            <w:r>
              <w:t>15–30</w:t>
            </w:r>
          </w:p>
        </w:tc>
        <w:tc>
          <w:tcPr>
            <w:tcW w:type="dxa" w:w="3360"/>
            <w:vAlign w:val="center"/>
          </w:tcPr>
          <w:p>
            <w:r>
              <w:t>Coach profile creation</w:t>
            </w:r>
          </w:p>
        </w:tc>
        <w:tc>
          <w:tcPr>
            <w:tcW w:type="dxa" w:w="3360"/>
            <w:vAlign w:val="center"/>
          </w:tcPr>
          <w:p>
            <w:r>
              <w:t>Submit profile</w:t>
            </w:r>
          </w:p>
        </w:tc>
      </w:tr>
      <w:tr>
        <w:tc>
          <w:tcPr>
            <w:tcW w:type="dxa" w:w="3360"/>
            <w:vAlign w:val="center"/>
          </w:tcPr>
          <w:p>
            <w:r>
              <w:t>30–45</w:t>
            </w:r>
          </w:p>
        </w:tc>
        <w:tc>
          <w:tcPr>
            <w:tcW w:type="dxa" w:w="3360"/>
            <w:vAlign w:val="center"/>
          </w:tcPr>
          <w:p>
            <w:r>
              <w:t>Teach evidence rubric</w:t>
            </w:r>
          </w:p>
        </w:tc>
        <w:tc>
          <w:tcPr>
            <w:tcW w:type="dxa" w:w="3360"/>
            <w:vAlign w:val="center"/>
          </w:tcPr>
          <w:p>
            <w:r>
              <w:t>Score an example</w:t>
            </w:r>
          </w:p>
        </w:tc>
      </w:tr>
      <w:tr>
        <w:tc>
          <w:tcPr>
            <w:tcW w:type="dxa" w:w="3360"/>
            <w:vAlign w:val="center"/>
          </w:tcPr>
          <w:p>
            <w:r>
              <w:t>45–60</w:t>
            </w:r>
          </w:p>
        </w:tc>
        <w:tc>
          <w:tcPr>
            <w:tcW w:type="dxa" w:w="3360"/>
            <w:vAlign w:val="center"/>
          </w:tcPr>
          <w:p>
            <w:r>
              <w:t>Guide seven-question brief</w:t>
            </w:r>
          </w:p>
        </w:tc>
        <w:tc>
          <w:tcPr>
            <w:tcW w:type="dxa" w:w="3360"/>
            <w:vAlign w:val="center"/>
          </w:tcPr>
          <w:p>
            <w:r>
              <w:t>Complete brief</w:t>
            </w:r>
          </w:p>
        </w:tc>
      </w:tr>
      <w:tr>
        <w:tc>
          <w:tcPr>
            <w:tcW w:type="dxa" w:w="3360"/>
            <w:vAlign w:val="center"/>
          </w:tcPr>
          <w:p>
            <w:r>
              <w:t>60–70</w:t>
            </w:r>
          </w:p>
        </w:tc>
        <w:tc>
          <w:tcPr>
            <w:tcW w:type="dxa" w:w="3360"/>
            <w:vAlign w:val="center"/>
          </w:tcPr>
          <w:p>
            <w:r>
              <w:t>Review Ask Mo</w:t>
            </w:r>
          </w:p>
        </w:tc>
        <w:tc>
          <w:tcPr>
            <w:tcW w:type="dxa" w:w="3360"/>
            <w:vAlign w:val="center"/>
          </w:tcPr>
          <w:p>
            <w:r>
              <w:t>Ask two questions</w:t>
            </w:r>
          </w:p>
        </w:tc>
      </w:tr>
      <w:tr>
        <w:tc>
          <w:tcPr>
            <w:tcW w:type="dxa" w:w="3360"/>
            <w:vAlign w:val="center"/>
          </w:tcPr>
          <w:p>
            <w:r>
              <w:t>70–80</w:t>
            </w:r>
          </w:p>
        </w:tc>
        <w:tc>
          <w:tcPr>
            <w:tcW w:type="dxa" w:w="3360"/>
            <w:vAlign w:val="center"/>
          </w:tcPr>
          <w:p>
            <w:r>
              <w:t>Agree next action and cadence</w:t>
            </w:r>
          </w:p>
        </w:tc>
        <w:tc>
          <w:tcPr>
            <w:tcW w:type="dxa" w:w="3360"/>
            <w:vAlign w:val="center"/>
          </w:tcPr>
          <w:p>
            <w:r>
              <w:t>Commit owner/date</w:t>
            </w:r>
          </w:p>
        </w:tc>
      </w:tr>
    </w:tbl>
    <w:p>
      <w:pPr>
        <w:pStyle w:val="Heading1"/>
      </w:pPr>
      <w:r>
        <w:t>Quality rubric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B9FF22"/>
          </w:tcPr>
          <w:p>
            <w:r>
              <w:t>Dimension</w:t>
            </w:r>
          </w:p>
        </w:tc>
        <w:tc>
          <w:tcPr>
            <w:tcW w:type="dxa" w:w="3360"/>
            <w:shd w:fill="B9FF22"/>
          </w:tcPr>
          <w:p>
            <w:r>
              <w:t>Ready</w:t>
            </w:r>
          </w:p>
        </w:tc>
        <w:tc>
          <w:tcPr>
            <w:tcW w:type="dxa" w:w="3360"/>
            <w:shd w:fill="B9FF22"/>
          </w:tcPr>
          <w:p>
            <w:r>
              <w:t>Needs work</w:t>
            </w:r>
          </w:p>
        </w:tc>
      </w:tr>
      <w:tr>
        <w:tc>
          <w:tcPr>
            <w:tcW w:type="dxa" w:w="3360"/>
            <w:vAlign w:val="center"/>
          </w:tcPr>
          <w:p>
            <w:r>
              <w:t>Profile</w:t>
            </w:r>
          </w:p>
        </w:tc>
        <w:tc>
          <w:tcPr>
            <w:tcW w:type="dxa" w:w="3360"/>
            <w:vAlign w:val="center"/>
          </w:tcPr>
          <w:p>
            <w:r>
              <w:t>Specific offer, problem, market, and signals</w:t>
            </w:r>
          </w:p>
        </w:tc>
        <w:tc>
          <w:tcPr>
            <w:tcW w:type="dxa" w:w="3360"/>
            <w:vAlign w:val="center"/>
          </w:tcPr>
          <w:p>
            <w:r>
              <w:t>Broad market or missing exclusions</w:t>
            </w:r>
          </w:p>
        </w:tc>
      </w:tr>
      <w:tr>
        <w:tc>
          <w:tcPr>
            <w:tcW w:type="dxa" w:w="3360"/>
            <w:vAlign w:val="center"/>
          </w:tcPr>
          <w:p>
            <w:r>
              <w:t>Evidence</w:t>
            </w:r>
          </w:p>
        </w:tc>
        <w:tc>
          <w:tcPr>
            <w:tcW w:type="dxa" w:w="3360"/>
            <w:vAlign w:val="center"/>
          </w:tcPr>
          <w:p>
            <w:r>
              <w:t>Traceable, current, corroborated</w:t>
            </w:r>
          </w:p>
        </w:tc>
        <w:tc>
          <w:tcPr>
            <w:tcW w:type="dxa" w:w="3360"/>
            <w:vAlign w:val="center"/>
          </w:tcPr>
          <w:p>
            <w:r>
              <w:t>Single weak or ambiguous signal</w:t>
            </w:r>
          </w:p>
        </w:tc>
      </w:tr>
      <w:tr>
        <w:tc>
          <w:tcPr>
            <w:tcW w:type="dxa" w:w="3360"/>
            <w:vAlign w:val="center"/>
          </w:tcPr>
          <w:p>
            <w:r>
              <w:t>Reasoning</w:t>
            </w:r>
          </w:p>
        </w:tc>
        <w:tc>
          <w:tcPr>
            <w:tcW w:type="dxa" w:w="3360"/>
            <w:vAlign w:val="center"/>
          </w:tcPr>
          <w:p>
            <w:r>
              <w:t>All seven questions answered</w:t>
            </w:r>
          </w:p>
        </w:tc>
        <w:tc>
          <w:tcPr>
            <w:tcW w:type="dxa" w:w="3360"/>
            <w:vAlign w:val="center"/>
          </w:tcPr>
          <w:p>
            <w:r>
              <w:t>Claims outrun evidence</w:t>
            </w:r>
          </w:p>
        </w:tc>
      </w:tr>
      <w:tr>
        <w:tc>
          <w:tcPr>
            <w:tcW w:type="dxa" w:w="3360"/>
            <w:vAlign w:val="center"/>
          </w:tcPr>
          <w:p>
            <w:r>
              <w:t>Action</w:t>
            </w:r>
          </w:p>
        </w:tc>
        <w:tc>
          <w:tcPr>
            <w:tcW w:type="dxa" w:w="3360"/>
            <w:vAlign w:val="center"/>
          </w:tcPr>
          <w:p>
            <w:r>
              <w:t>Named owner, date, human approval</w:t>
            </w:r>
          </w:p>
        </w:tc>
        <w:tc>
          <w:tcPr>
            <w:tcW w:type="dxa" w:w="3360"/>
            <w:vAlign w:val="center"/>
          </w:tcPr>
          <w:p>
            <w:r>
              <w:t>Automated or undefined outreach</w:t>
            </w:r>
          </w:p>
        </w:tc>
      </w:tr>
      <w:tr>
        <w:tc>
          <w:tcPr>
            <w:tcW w:type="dxa" w:w="3360"/>
            <w:vAlign w:val="center"/>
          </w:tcPr>
          <w:p>
            <w:r>
              <w:t>Governance</w:t>
            </w:r>
          </w:p>
        </w:tc>
        <w:tc>
          <w:tcPr>
            <w:tcW w:type="dxa" w:w="3360"/>
            <w:vAlign w:val="center"/>
          </w:tcPr>
          <w:p>
            <w:r>
              <w:t>Approved sources and retention</w:t>
            </w:r>
          </w:p>
        </w:tc>
        <w:tc>
          <w:tcPr>
            <w:tcW w:type="dxa" w:w="3360"/>
            <w:vAlign w:val="center"/>
          </w:tcPr>
          <w:p>
            <w:r>
              <w:t>Unknown license, terms, or privacy basis</w:t>
            </w:r>
          </w:p>
        </w:tc>
      </w:tr>
    </w:tbl>
    <w:p>
      <w:pPr>
        <w:pStyle w:val="Heading1"/>
      </w:pPr>
      <w:r>
        <w:t>30-day success measures</w:t>
      </w:r>
    </w:p>
    <w:p>
      <w:pPr>
        <w:pStyle w:val="ListBullet"/>
      </w:pPr>
      <w:r>
        <w:t>Activation: profile submitted and Ask Mo used during first session.</w:t>
      </w:r>
    </w:p>
    <w:p>
      <w:pPr>
        <w:pStyle w:val="ListBullet"/>
      </w:pPr>
      <w:r>
        <w:t>Time to first qualified brief.</w:t>
      </w:r>
    </w:p>
    <w:p>
      <w:pPr>
        <w:pStyle w:val="ListBullet"/>
      </w:pPr>
      <w:r>
        <w:t>Percentage of briefs with traceable evidence and all seven questions complete.</w:t>
      </w:r>
    </w:p>
    <w:p>
      <w:pPr>
        <w:pStyle w:val="ListBullet"/>
      </w:pPr>
      <w:r>
        <w:t>False-positive rate and reasons.</w:t>
      </w:r>
    </w:p>
    <w:p>
      <w:pPr>
        <w:pStyle w:val="ListBullet"/>
      </w:pPr>
      <w:r>
        <w:t>Weekly active users and completed review cadence.</w:t>
      </w:r>
    </w:p>
    <w:p>
      <w:pPr>
        <w:pStyle w:val="ListBullet"/>
      </w:pPr>
      <w:r>
        <w:t>Zero unauthorized source, privacy, or remote-command incidents.</w:t>
      </w:r>
    </w:p>
    <w:p>
      <w:pPr>
        <w:pStyle w:val="Heading1"/>
      </w:pPr>
      <w:r>
        <w:t>Administrator production checklist</w:t>
      </w:r>
    </w:p>
    <w:p>
      <w:pPr>
        <w:pStyle w:val="ListBullet"/>
      </w:pPr>
      <w:r>
        <w:t>Confirm public pages contain no demo claims, fabricated customers, or fake live metrics.</w:t>
      </w:r>
    </w:p>
    <w:p>
      <w:pPr>
        <w:pStyle w:val="ListBullet"/>
      </w:pPr>
      <w:r>
        <w:t>Audit every repository, dependency, model, data source, and deployment artifact for license and source terms.</w:t>
      </w:r>
    </w:p>
    <w:p>
      <w:pPr>
        <w:pStyle w:val="ListBullet"/>
      </w:pPr>
      <w:r>
        <w:t>Restrict SSS Brain remote commands to an authenticated allowlist; log requester, command, result, and timestamp; require human approval for consequential actions.</w:t>
      </w:r>
    </w:p>
    <w:p>
      <w:pPr>
        <w:pStyle w:val="ListBullet"/>
      </w:pPr>
      <w:r>
        <w:t>Configure secrets outside source control; rotate keys; apply least privilege; test backup and recovery.</w:t>
      </w:r>
    </w:p>
    <w:p>
      <w:pPr>
        <w:pStyle w:val="ListBullet"/>
      </w:pPr>
      <w:r>
        <w:t>Set privacy notice, retention, deletion, incident response, accessibility, monitoring, and support ownership.</w:t>
      </w:r>
    </w:p>
    <w:p>
      <w:pPr>
        <w:pStyle w:val="ListBullet"/>
      </w:pPr>
      <w:r>
        <w:t>Run acceptance tests for profile submission, Ask Mo, mobile layout, keyboard use, download links, API health, and failure states.</w:t>
      </w:r>
    </w:p>
    <w:p>
      <w:pPr>
        <w:pStyle w:val="Heading1"/>
      </w:pPr>
      <w:r>
        <w:t>Open-source implementation map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B9FF22"/>
          </w:tcPr>
          <w:p>
            <w:r>
              <w:t>Capability</w:t>
            </w:r>
          </w:p>
        </w:tc>
        <w:tc>
          <w:tcPr>
            <w:tcW w:type="dxa" w:w="3360"/>
            <w:shd w:fill="B9FF22"/>
          </w:tcPr>
          <w:p>
            <w:r>
              <w:t>Preferred V1</w:t>
            </w:r>
          </w:p>
        </w:tc>
        <w:tc>
          <w:tcPr>
            <w:tcW w:type="dxa" w:w="3360"/>
            <w:shd w:fill="B9FF22"/>
          </w:tcPr>
          <w:p>
            <w:r>
              <w:t>Controlled / optional</w:t>
            </w:r>
          </w:p>
        </w:tc>
      </w:tr>
      <w:tr>
        <w:tc>
          <w:tcPr>
            <w:tcW w:type="dxa" w:w="3360"/>
            <w:vAlign w:val="center"/>
          </w:tcPr>
          <w:p>
            <w:r>
              <w:t>Crawling</w:t>
            </w:r>
          </w:p>
        </w:tc>
        <w:tc>
          <w:tcPr>
            <w:tcW w:type="dxa" w:w="3360"/>
            <w:vAlign w:val="center"/>
          </w:tcPr>
          <w:p>
            <w:r>
              <w:t>Crawl4AI, Scrapy</w:t>
            </w:r>
          </w:p>
        </w:tc>
        <w:tc>
          <w:tcPr>
            <w:tcW w:type="dxa" w:w="3360"/>
            <w:vAlign w:val="center"/>
          </w:tcPr>
          <w:p>
            <w:r>
              <w:t>Playwright when rendering is required</w:t>
            </w:r>
          </w:p>
        </w:tc>
      </w:tr>
      <w:tr>
        <w:tc>
          <w:tcPr>
            <w:tcW w:type="dxa" w:w="3360"/>
            <w:vAlign w:val="center"/>
          </w:tcPr>
          <w:p>
            <w:r>
              <w:t>Recon</w:t>
            </w:r>
          </w:p>
        </w:tc>
        <w:tc>
          <w:tcPr>
            <w:tcW w:type="dxa" w:w="3360"/>
            <w:vAlign w:val="center"/>
          </w:tcPr>
          <w:p>
            <w:r>
              <w:t>SpiderFoot, HTTPX</w:t>
            </w:r>
          </w:p>
        </w:tc>
        <w:tc>
          <w:tcPr>
            <w:tcW w:type="dxa" w:w="3360"/>
            <w:vAlign w:val="center"/>
          </w:tcPr>
          <w:p>
            <w:r>
              <w:t>WAFW00F with authorization</w:t>
            </w:r>
          </w:p>
        </w:tc>
      </w:tr>
      <w:tr>
        <w:tc>
          <w:tcPr>
            <w:tcW w:type="dxa" w:w="3360"/>
            <w:vAlign w:val="center"/>
          </w:tcPr>
          <w:p>
            <w:r>
              <w:t>Browser assistance</w:t>
            </w:r>
          </w:p>
        </w:tc>
        <w:tc>
          <w:tcPr>
            <w:tcW w:type="dxa" w:w="3360"/>
            <w:vAlign w:val="center"/>
          </w:tcPr>
          <w:p>
            <w:r>
              <w:t>Playwright</w:t>
            </w:r>
          </w:p>
        </w:tc>
        <w:tc>
          <w:tcPr>
            <w:tcW w:type="dxa" w:w="3360"/>
            <w:vAlign w:val="center"/>
          </w:tcPr>
          <w:p>
            <w:r>
              <w:t>Nanobrowser after security review</w:t>
            </w:r>
          </w:p>
        </w:tc>
      </w:tr>
      <w:tr>
        <w:tc>
          <w:tcPr>
            <w:tcW w:type="dxa" w:w="3360"/>
            <w:vAlign w:val="center"/>
          </w:tcPr>
          <w:p>
            <w:r>
              <w:t>Local AI</w:t>
            </w:r>
          </w:p>
        </w:tc>
        <w:tc>
          <w:tcPr>
            <w:tcW w:type="dxa" w:w="3360"/>
            <w:vAlign w:val="center"/>
          </w:tcPr>
          <w:p>
            <w:r>
              <w:t>Ollama</w:t>
            </w:r>
          </w:p>
        </w:tc>
        <w:tc>
          <w:tcPr>
            <w:tcW w:type="dxa" w:w="3360"/>
            <w:vAlign w:val="center"/>
          </w:tcPr>
          <w:p>
            <w:r>
              <w:t>Model license and hardware review</w:t>
            </w:r>
          </w:p>
        </w:tc>
      </w:tr>
      <w:tr>
        <w:tc>
          <w:tcPr>
            <w:tcW w:type="dxa" w:w="3360"/>
            <w:vAlign w:val="center"/>
          </w:tcPr>
          <w:p>
            <w:r>
              <w:t>Identity discovery</w:t>
            </w:r>
          </w:p>
        </w:tc>
        <w:tc>
          <w:tcPr>
            <w:tcW w:type="dxa" w:w="3360"/>
            <w:vAlign w:val="center"/>
          </w:tcPr>
          <w:p>
            <w:r>
              <w:t>—</w:t>
            </w:r>
          </w:p>
        </w:tc>
        <w:tc>
          <w:tcPr>
            <w:tcW w:type="dxa" w:w="3360"/>
            <w:vAlign w:val="center"/>
          </w:tcPr>
          <w:p>
            <w:r>
              <w:t>Maigret / Sherlock only for lawful approved use</w:t>
            </w:r>
          </w:p>
        </w:tc>
      </w:tr>
      <w:tr>
        <w:tc>
          <w:tcPr>
            <w:tcW w:type="dxa" w:w="3360"/>
            <w:vAlign w:val="center"/>
          </w:tcPr>
          <w:p>
            <w:r>
              <w:t>Storage</w:t>
            </w:r>
          </w:p>
        </w:tc>
        <w:tc>
          <w:tcPr>
            <w:tcW w:type="dxa" w:w="3360"/>
            <w:vAlign w:val="center"/>
          </w:tcPr>
          <w:p>
            <w:r>
              <w:t>PostgreSQL + pgvector</w:t>
            </w:r>
          </w:p>
        </w:tc>
        <w:tc>
          <w:tcPr>
            <w:tcW w:type="dxa" w:w="3360"/>
            <w:vAlign w:val="center"/>
          </w:tcPr>
          <w:p>
            <w:r>
              <w:t>Qdrant if operational need justifies it</w:t>
            </w:r>
          </w:p>
        </w:tc>
      </w:tr>
    </w:tbl>
    <w:p>
      <w:r>
        <w:t>Repository licenses above are top-level indicators, not legal clearance. Complete dependency, model, content, privacy, and terms-of-service reviews before production use.</w:t>
      </w:r>
    </w:p>
    <w:p>
      <w:pPr>
        <w:pStyle w:val="Heading1"/>
      </w:pPr>
      <w:r>
        <w:t>Support and escalation</w:t>
      </w:r>
    </w:p>
    <w:p>
      <w:r>
        <w:t>Product question → Ask Mo. Data or evidence concern → team reviewer. Access or integration concern → administrator. Suspected privacy/security incident → stop the workflow, preserve logs, and follow the organization’s incident-response process.</w:t>
      </w:r>
    </w:p>
    <w:sectPr w:rsidR="00FC693F" w:rsidRPr="0006063C" w:rsidSect="00034616"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Demand Mo • Verified demand intelligence • demandmo.biz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6282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0110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C700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0110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0110F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