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rPr>
          <w:color w:val="82A000"/>
        </w:rPr>
        <w:t>DEMAND MO</w:t>
      </w:r>
    </w:p>
    <w:p>
      <w:pPr>
        <w:pStyle w:val="Title"/>
      </w:pPr>
      <w:r>
        <w:t>User Guide</w:t>
      </w:r>
    </w:p>
    <w:p>
      <w:pPr>
        <w:pStyle w:val="Subtitle"/>
      </w:pPr>
      <w:r>
        <w:t>Step-by-step instructions for the public production experience at demandmo.biz.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400800" cy="40005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ull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00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Production guide • Version 1.0 • 17 August 2026</w:t>
      </w:r>
    </w:p>
    <w:p>
      <w:r>
        <w:br w:type="page"/>
      </w:r>
    </w:p>
    <w:p>
      <w:pPr>
        <w:pStyle w:val="Heading1"/>
      </w:pPr>
      <w:r>
        <w:t>Quick start</w:t>
      </w:r>
    </w:p>
    <w:p>
      <w:pPr>
        <w:pStyle w:val="ListNumber"/>
      </w:pPr>
      <w:r>
        <w:t>Open demandmo.biz.</w:t>
      </w:r>
    </w:p>
    <w:p>
      <w:pPr>
        <w:pStyle w:val="ListNumber"/>
      </w:pPr>
      <w:r>
        <w:t>Select Build My Demand Profile.</w:t>
      </w:r>
    </w:p>
    <w:p>
      <w:pPr>
        <w:pStyle w:val="ListNumber"/>
      </w:pPr>
      <w:r>
        <w:t>Complete every required field with a specific, testable demand thesis.</w:t>
      </w:r>
    </w:p>
    <w:p>
      <w:pPr>
        <w:pStyle w:val="ListNumber"/>
      </w:pPr>
      <w:r>
        <w:t>Select Create My Profile.</w:t>
      </w:r>
    </w:p>
    <w:p>
      <w:pPr>
        <w:pStyle w:val="ListNumber"/>
      </w:pPr>
      <w:r>
        <w:t>Record the DM reference shown after submission.</w:t>
      </w:r>
    </w:p>
    <w:p>
      <w:pPr>
        <w:pStyle w:val="ListNumber"/>
      </w:pPr>
      <w:r>
        <w:t>Use Ask Mo for navigation, profile, evidence, technology, or privacy guidance.</w:t>
      </w:r>
    </w:p>
    <w:p>
      <w:pPr>
        <w:pStyle w:val="Heading1"/>
      </w:pPr>
      <w:r>
        <w:t>1. Understand the home screen</w:t>
      </w:r>
    </w:p>
    <w:p>
      <w:r>
        <w:drawing>
          <wp:inline xmlns:a="http://schemas.openxmlformats.org/drawingml/2006/main" xmlns:pic="http://schemas.openxmlformats.org/drawingml/2006/picture">
            <wp:extent cx="6400800" cy="56007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v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600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Screenshot 1 — Production navigation and primary profile action.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B9FF22"/>
          </w:tcPr>
          <w:p>
            <w:r>
              <w:t>Control</w:t>
            </w:r>
          </w:p>
        </w:tc>
        <w:tc>
          <w:tcPr>
            <w:tcW w:type="dxa" w:w="3360"/>
            <w:shd w:fill="B9FF22"/>
          </w:tcPr>
          <w:p>
            <w:r>
              <w:t>What happens</w:t>
            </w:r>
          </w:p>
        </w:tc>
        <w:tc>
          <w:tcPr>
            <w:tcW w:type="dxa" w:w="3360"/>
            <w:shd w:fill="B9FF22"/>
          </w:tcPr>
          <w:p>
            <w:r>
              <w:t>Expected result</w:t>
            </w:r>
          </w:p>
        </w:tc>
      </w:tr>
      <w:tr>
        <w:tc>
          <w:tcPr>
            <w:tcW w:type="dxa" w:w="3360"/>
            <w:vAlign w:val="center"/>
          </w:tcPr>
          <w:p>
            <w:r>
              <w:t>DEMAND MO logo</w:t>
            </w:r>
          </w:p>
        </w:tc>
        <w:tc>
          <w:tcPr>
            <w:tcW w:type="dxa" w:w="3360"/>
            <w:vAlign w:val="center"/>
          </w:tcPr>
          <w:p>
            <w:r>
              <w:t>Returns to the top of the page</w:t>
            </w:r>
          </w:p>
        </w:tc>
        <w:tc>
          <w:tcPr>
            <w:tcW w:type="dxa" w:w="3360"/>
            <w:vAlign w:val="center"/>
          </w:tcPr>
          <w:p>
            <w:r>
              <w:t>Hero section is visible</w:t>
            </w:r>
          </w:p>
        </w:tc>
      </w:tr>
      <w:tr>
        <w:tc>
          <w:tcPr>
            <w:tcW w:type="dxa" w:w="3360"/>
            <w:vAlign w:val="center"/>
          </w:tcPr>
          <w:p>
            <w:r>
              <w:t>How it works</w:t>
            </w:r>
          </w:p>
        </w:tc>
        <w:tc>
          <w:tcPr>
            <w:tcW w:type="dxa" w:w="3360"/>
            <w:vAlign w:val="center"/>
          </w:tcPr>
          <w:p>
            <w:r>
              <w:t>Moves to the process section</w:t>
            </w:r>
          </w:p>
        </w:tc>
        <w:tc>
          <w:tcPr>
            <w:tcW w:type="dxa" w:w="3360"/>
            <w:vAlign w:val="center"/>
          </w:tcPr>
          <w:p>
            <w:r>
              <w:t>Process explanation is in view</w:t>
            </w:r>
          </w:p>
        </w:tc>
      </w:tr>
      <w:tr>
        <w:tc>
          <w:tcPr>
            <w:tcW w:type="dxa" w:w="3360"/>
            <w:vAlign w:val="center"/>
          </w:tcPr>
          <w:p>
            <w:r>
              <w:t>Signals</w:t>
            </w:r>
          </w:p>
        </w:tc>
        <w:tc>
          <w:tcPr>
            <w:tcW w:type="dxa" w:w="3360"/>
            <w:vAlign w:val="center"/>
          </w:tcPr>
          <w:p>
            <w:r>
              <w:t>Moves to signal categories</w:t>
            </w:r>
          </w:p>
        </w:tc>
        <w:tc>
          <w:tcPr>
            <w:tcW w:type="dxa" w:w="3360"/>
            <w:vAlign w:val="center"/>
          </w:tcPr>
          <w:p>
            <w:r>
              <w:t>Signal types are in view</w:t>
            </w:r>
          </w:p>
        </w:tc>
      </w:tr>
      <w:tr>
        <w:tc>
          <w:tcPr>
            <w:tcW w:type="dxa" w:w="3360"/>
            <w:vAlign w:val="center"/>
          </w:tcPr>
          <w:p>
            <w:r>
              <w:t>Verification</w:t>
            </w:r>
          </w:p>
        </w:tc>
        <w:tc>
          <w:tcPr>
            <w:tcW w:type="dxa" w:w="3360"/>
            <w:vAlign w:val="center"/>
          </w:tcPr>
          <w:p>
            <w:r>
              <w:t>Moves to verification method</w:t>
            </w:r>
          </w:p>
        </w:tc>
        <w:tc>
          <w:tcPr>
            <w:tcW w:type="dxa" w:w="3360"/>
            <w:vAlign w:val="center"/>
          </w:tcPr>
          <w:p>
            <w:r>
              <w:t>Evidence standards are in view</w:t>
            </w:r>
          </w:p>
        </w:tc>
      </w:tr>
      <w:tr>
        <w:tc>
          <w:tcPr>
            <w:tcW w:type="dxa" w:w="3360"/>
            <w:vAlign w:val="center"/>
          </w:tcPr>
          <w:p>
            <w:r>
              <w:t>Technology</w:t>
            </w:r>
          </w:p>
        </w:tc>
        <w:tc>
          <w:tcPr>
            <w:tcW w:type="dxa" w:w="3360"/>
            <w:vAlign w:val="center"/>
          </w:tcPr>
          <w:p>
            <w:r>
              <w:t>Moves to the architecture section</w:t>
            </w:r>
          </w:p>
        </w:tc>
        <w:tc>
          <w:tcPr>
            <w:tcW w:type="dxa" w:w="3360"/>
            <w:vAlign w:val="center"/>
          </w:tcPr>
          <w:p>
            <w:r>
              <w:t>Core and controlled open-source components are shown</w:t>
            </w:r>
          </w:p>
        </w:tc>
      </w:tr>
      <w:tr>
        <w:tc>
          <w:tcPr>
            <w:tcW w:type="dxa" w:w="3360"/>
            <w:vAlign w:val="center"/>
          </w:tcPr>
          <w:p>
            <w:r>
              <w:t>Get started</w:t>
            </w:r>
          </w:p>
        </w:tc>
        <w:tc>
          <w:tcPr>
            <w:tcW w:type="dxa" w:w="3360"/>
            <w:vAlign w:val="center"/>
          </w:tcPr>
          <w:p>
            <w:r>
              <w:t>Moves to the onboarding call to action</w:t>
            </w:r>
          </w:p>
        </w:tc>
        <w:tc>
          <w:tcPr>
            <w:tcW w:type="dxa" w:w="3360"/>
            <w:vAlign w:val="center"/>
          </w:tcPr>
          <w:p>
            <w:r>
              <w:t>Profile action is visible</w:t>
            </w:r>
          </w:p>
        </w:tc>
      </w:tr>
      <w:tr>
        <w:tc>
          <w:tcPr>
            <w:tcW w:type="dxa" w:w="3360"/>
            <w:vAlign w:val="center"/>
          </w:tcPr>
          <w:p>
            <w:r>
              <w:t>Build My Demand Profile</w:t>
            </w:r>
          </w:p>
        </w:tc>
        <w:tc>
          <w:tcPr>
            <w:tcW w:type="dxa" w:w="3360"/>
            <w:vAlign w:val="center"/>
          </w:tcPr>
          <w:p>
            <w:r>
              <w:t>Opens the profile dialog</w:t>
            </w:r>
          </w:p>
        </w:tc>
        <w:tc>
          <w:tcPr>
            <w:tcW w:type="dxa" w:w="3360"/>
            <w:vAlign w:val="center"/>
          </w:tcPr>
          <w:p>
            <w:r>
              <w:t>Form appears over the page</w:t>
            </w:r>
          </w:p>
        </w:tc>
      </w:tr>
      <w:tr>
        <w:tc>
          <w:tcPr>
            <w:tcW w:type="dxa" w:w="3360"/>
            <w:vAlign w:val="center"/>
          </w:tcPr>
          <w:p>
            <w:r>
              <w:t>Ask Mo</w:t>
            </w:r>
          </w:p>
        </w:tc>
        <w:tc>
          <w:tcPr>
            <w:tcW w:type="dxa" w:w="3360"/>
            <w:vAlign w:val="center"/>
          </w:tcPr>
          <w:p>
            <w:r>
              <w:t>Opens the guide panel</w:t>
            </w:r>
          </w:p>
        </w:tc>
        <w:tc>
          <w:tcPr>
            <w:tcW w:type="dxa" w:w="3360"/>
            <w:vAlign w:val="center"/>
          </w:tcPr>
          <w:p>
            <w:r>
              <w:t>Prompt field and guide response area appear</w:t>
            </w:r>
          </w:p>
        </w:tc>
      </w:tr>
    </w:tbl>
    <w:p>
      <w:pPr>
        <w:pStyle w:val="Heading1"/>
      </w:pPr>
      <w:r>
        <w:t>2. Create a Demand Profile</w:t>
      </w:r>
    </w:p>
    <w:p>
      <w:r>
        <w:drawing>
          <wp:inline xmlns:a="http://schemas.openxmlformats.org/drawingml/2006/main" xmlns:pic="http://schemas.openxmlformats.org/drawingml/2006/picture">
            <wp:extent cx="3108960" cy="165811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fil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6581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Screenshot 2 — Primary profile button.</w:t>
      </w:r>
    </w:p>
    <w:p>
      <w:pPr>
        <w:pStyle w:val="ListNumber"/>
      </w:pPr>
      <w:r>
        <w:t>Select Build My Demand Profile.</w:t>
      </w:r>
    </w:p>
    <w:p>
      <w:pPr>
        <w:pStyle w:val="ListNumber"/>
      </w:pPr>
      <w:r>
        <w:t>Read each label before entering data. Describe the offer and customer problem concretely; avoid “all businesses.”</w:t>
      </w:r>
    </w:p>
    <w:p>
      <w:pPr>
        <w:pStyle w:val="ListNumber"/>
      </w:pPr>
      <w:r>
        <w:t>Specify market, geography, signal criteria, and exclusions so results can be evaluated.</w:t>
      </w:r>
    </w:p>
    <w:p>
      <w:pPr>
        <w:pStyle w:val="ListNumber"/>
      </w:pPr>
      <w:r>
        <w:t>Provide a valid contact email if requested for the saved profile workflow.</w:t>
      </w:r>
    </w:p>
    <w:p>
      <w:pPr>
        <w:pStyle w:val="ListNumber"/>
      </w:pPr>
      <w:r>
        <w:t>Select Create My Profile once. Wait for the confirmation state.</w:t>
      </w:r>
    </w:p>
    <w:p>
      <w:pPr>
        <w:pStyle w:val="ListNumber"/>
      </w:pPr>
      <w:r>
        <w:t>Copy the generated DM reference. It is the durable confirmation that the backend accepted the profile.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shd w:fill="B9FF22"/>
          </w:tcPr>
          <w:p>
            <w:r>
              <w:t>If this happens</w:t>
            </w:r>
          </w:p>
        </w:tc>
        <w:tc>
          <w:tcPr>
            <w:tcW w:type="dxa" w:w="3360"/>
            <w:shd w:fill="B9FF22"/>
          </w:tcPr>
          <w:p>
            <w:r>
              <w:t>Meaning</w:t>
            </w:r>
          </w:p>
        </w:tc>
        <w:tc>
          <w:tcPr>
            <w:tcW w:type="dxa" w:w="3360"/>
            <w:shd w:fill="B9FF22"/>
          </w:tcPr>
          <w:p>
            <w:r>
              <w:t>What to do</w:t>
            </w:r>
          </w:p>
        </w:tc>
      </w:tr>
      <w:tr>
        <w:tc>
          <w:tcPr>
            <w:tcW w:type="dxa" w:w="3360"/>
            <w:vAlign w:val="center"/>
          </w:tcPr>
          <w:p>
            <w:r>
              <w:t>Confirmation + DM reference</w:t>
            </w:r>
          </w:p>
        </w:tc>
        <w:tc>
          <w:tcPr>
            <w:tcW w:type="dxa" w:w="3360"/>
            <w:vAlign w:val="center"/>
          </w:tcPr>
          <w:p>
            <w:r>
              <w:t>Profile saved successfully</w:t>
            </w:r>
          </w:p>
        </w:tc>
        <w:tc>
          <w:tcPr>
            <w:tcW w:type="dxa" w:w="3360"/>
            <w:vAlign w:val="center"/>
          </w:tcPr>
          <w:p>
            <w:r>
              <w:t>Store the reference and proceed to review</w:t>
            </w:r>
          </w:p>
        </w:tc>
      </w:tr>
      <w:tr>
        <w:tc>
          <w:tcPr>
            <w:tcW w:type="dxa" w:w="3360"/>
            <w:vAlign w:val="center"/>
          </w:tcPr>
          <w:p>
            <w:r>
              <w:t>Inline validation</w:t>
            </w:r>
          </w:p>
        </w:tc>
        <w:tc>
          <w:tcPr>
            <w:tcW w:type="dxa" w:w="3360"/>
            <w:vAlign w:val="center"/>
          </w:tcPr>
          <w:p>
            <w:r>
              <w:t>A required or formatted field is incomplete</w:t>
            </w:r>
          </w:p>
        </w:tc>
        <w:tc>
          <w:tcPr>
            <w:tcW w:type="dxa" w:w="3360"/>
            <w:vAlign w:val="center"/>
          </w:tcPr>
          <w:p>
            <w:r>
              <w:t>Correct the highlighted value and resubmit</w:t>
            </w:r>
          </w:p>
        </w:tc>
      </w:tr>
      <w:tr>
        <w:tc>
          <w:tcPr>
            <w:tcW w:type="dxa" w:w="3360"/>
            <w:vAlign w:val="center"/>
          </w:tcPr>
          <w:p>
            <w:r>
              <w:t>Network/server error</w:t>
            </w:r>
          </w:p>
        </w:tc>
        <w:tc>
          <w:tcPr>
            <w:tcW w:type="dxa" w:w="3360"/>
            <w:vAlign w:val="center"/>
          </w:tcPr>
          <w:p>
            <w:r>
              <w:t>The request was not saved</w:t>
            </w:r>
          </w:p>
        </w:tc>
        <w:tc>
          <w:tcPr>
            <w:tcW w:type="dxa" w:w="3360"/>
            <w:vAlign w:val="center"/>
          </w:tcPr>
          <w:p>
            <w:r>
              <w:t>Keep your text, wait briefly, retry once, then escalate with time and browser</w:t>
            </w:r>
          </w:p>
        </w:tc>
      </w:tr>
      <w:tr>
        <w:tc>
          <w:tcPr>
            <w:tcW w:type="dxa" w:w="3360"/>
            <w:vAlign w:val="center"/>
          </w:tcPr>
          <w:p>
            <w:r>
              <w:t>Repeated click appears inactive</w:t>
            </w:r>
          </w:p>
        </w:tc>
        <w:tc>
          <w:tcPr>
            <w:tcW w:type="dxa" w:w="3360"/>
            <w:vAlign w:val="center"/>
          </w:tcPr>
          <w:p>
            <w:r>
              <w:t>Request may already be processing</w:t>
            </w:r>
          </w:p>
        </w:tc>
        <w:tc>
          <w:tcPr>
            <w:tcW w:type="dxa" w:w="3360"/>
            <w:vAlign w:val="center"/>
          </w:tcPr>
          <w:p>
            <w:r>
              <w:t>Do not create duplicates; wait for confirmation</w:t>
            </w:r>
          </w:p>
        </w:tc>
      </w:tr>
    </w:tbl>
    <w:p>
      <w:pPr>
        <w:pStyle w:val="Heading1"/>
      </w:pPr>
      <w:r>
        <w:t>3. Use Ask Mo</w:t>
      </w:r>
    </w:p>
    <w:p>
      <w:r>
        <w:drawing>
          <wp:inline xmlns:a="http://schemas.openxmlformats.org/drawingml/2006/main" xmlns:pic="http://schemas.openxmlformats.org/drawingml/2006/picture">
            <wp:extent cx="2011680" cy="124532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skmo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2453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Screenshot 3 — Ask Mo launcher in the lower-right corner.</w:t>
      </w:r>
    </w:p>
    <w:p>
      <w:pPr>
        <w:pStyle w:val="ListNumber"/>
      </w:pPr>
      <w:r>
        <w:t>Select Ask Mo.</w:t>
      </w:r>
    </w:p>
    <w:p>
      <w:pPr>
        <w:pStyle w:val="ListNumber"/>
      </w:pPr>
      <w:r>
        <w:t>Type one concise question in the prompt field.</w:t>
      </w:r>
    </w:p>
    <w:p>
      <w:pPr>
        <w:pStyle w:val="ListNumber"/>
      </w:pPr>
      <w:r>
        <w:t>Select the send-arrow button or press Enter.</w:t>
      </w:r>
    </w:p>
    <w:p>
      <w:pPr>
        <w:pStyle w:val="ListNumber"/>
      </w:pPr>
      <w:r>
        <w:t>Read the answer and use the suggested next step.</w:t>
      </w:r>
    </w:p>
    <w:p>
      <w:pPr>
        <w:pStyle w:val="ListNumber"/>
      </w:pPr>
      <w:r>
        <w:t>Ask a narrower follow-up if the response is too general.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B9FF22"/>
          </w:tcPr>
          <w:p>
            <w:r>
              <w:t>Try asking</w:t>
            </w:r>
          </w:p>
        </w:tc>
        <w:tc>
          <w:tcPr>
            <w:tcW w:type="dxa" w:w="5040"/>
            <w:shd w:fill="B9FF22"/>
          </w:tcPr>
          <w:p>
            <w:r>
              <w:t>Expected guidance</w:t>
            </w:r>
          </w:p>
        </w:tc>
      </w:tr>
      <w:tr>
        <w:tc>
          <w:tcPr>
            <w:tcW w:type="dxa" w:w="5040"/>
            <w:vAlign w:val="center"/>
          </w:tcPr>
          <w:p>
            <w:r>
              <w:t>How do I create a profile?</w:t>
            </w:r>
          </w:p>
        </w:tc>
        <w:tc>
          <w:tcPr>
            <w:tcW w:type="dxa" w:w="5040"/>
            <w:vAlign w:val="center"/>
          </w:tcPr>
          <w:p>
            <w:r>
              <w:t>The steps and fields used to submit a Demand Profile</w:t>
            </w:r>
          </w:p>
        </w:tc>
      </w:tr>
      <w:tr>
        <w:tc>
          <w:tcPr>
            <w:tcW w:type="dxa" w:w="5040"/>
            <w:vAlign w:val="center"/>
          </w:tcPr>
          <w:p>
            <w:r>
              <w:t>What counts as a signal?</w:t>
            </w:r>
          </w:p>
        </w:tc>
        <w:tc>
          <w:tcPr>
            <w:tcW w:type="dxa" w:w="5040"/>
            <w:vAlign w:val="center"/>
          </w:tcPr>
          <w:p>
            <w:r>
              <w:t>Examples and the difference between a signal and proof</w:t>
            </w:r>
          </w:p>
        </w:tc>
      </w:tr>
      <w:tr>
        <w:tc>
          <w:tcPr>
            <w:tcW w:type="dxa" w:w="5040"/>
            <w:vAlign w:val="center"/>
          </w:tcPr>
          <w:p>
            <w:r>
              <w:t>How is evidence verified?</w:t>
            </w:r>
          </w:p>
        </w:tc>
        <w:tc>
          <w:tcPr>
            <w:tcW w:type="dxa" w:w="5040"/>
            <w:vAlign w:val="center"/>
          </w:tcPr>
          <w:p>
            <w:r>
              <w:t>Source, relevance, recency, and corroboration checks</w:t>
            </w:r>
          </w:p>
        </w:tc>
      </w:tr>
      <w:tr>
        <w:tc>
          <w:tcPr>
            <w:tcW w:type="dxa" w:w="5040"/>
            <w:vAlign w:val="center"/>
          </w:tcPr>
          <w:p>
            <w:r>
              <w:t>What technology powers this?</w:t>
            </w:r>
          </w:p>
        </w:tc>
        <w:tc>
          <w:tcPr>
            <w:tcW w:type="dxa" w:w="5040"/>
            <w:vAlign w:val="center"/>
          </w:tcPr>
          <w:p>
            <w:r>
              <w:t>The self-hosted open-source architecture and controlled add-ons</w:t>
            </w:r>
          </w:p>
        </w:tc>
      </w:tr>
      <w:tr>
        <w:tc>
          <w:tcPr>
            <w:tcW w:type="dxa" w:w="5040"/>
            <w:vAlign w:val="center"/>
          </w:tcPr>
          <w:p>
            <w:r>
              <w:t>How does SSS Brain connect?</w:t>
            </w:r>
          </w:p>
        </w:tc>
        <w:tc>
          <w:tcPr>
            <w:tcW w:type="dxa" w:w="5040"/>
            <w:vAlign w:val="center"/>
          </w:tcPr>
          <w:p>
            <w:r>
              <w:t>Authenticated command-gateway concept, audit logging, and permission boundaries</w:t>
            </w:r>
          </w:p>
        </w:tc>
      </w:tr>
    </w:tbl>
    <w:p>
      <w:r>
        <w:t>Ask Mo is a product guide. Treat it as instructional unless the interface explicitly confirms that an approved command was executed. Never paste passwords, access tokens, private keys, or sensitive personal data into prompts.</w:t>
      </w:r>
    </w:p>
    <w:p>
      <w:pPr>
        <w:pStyle w:val="Heading1"/>
      </w:pPr>
      <w:r>
        <w:t>4. Read an opportunity brief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B9FF22"/>
          </w:tcPr>
          <w:p>
            <w:r>
              <w:t>Question</w:t>
            </w:r>
          </w:p>
        </w:tc>
        <w:tc>
          <w:tcPr>
            <w:tcW w:type="dxa" w:w="5040"/>
            <w:shd w:fill="B9FF22"/>
          </w:tcPr>
          <w:p>
            <w:r>
              <w:t>A complete answer contains</w:t>
            </w:r>
          </w:p>
        </w:tc>
      </w:tr>
      <w:tr>
        <w:tc>
          <w:tcPr>
            <w:tcW w:type="dxa" w:w="5040"/>
            <w:vAlign w:val="center"/>
          </w:tcPr>
          <w:p>
            <w:r>
              <w:t>Who is the company?</w:t>
            </w:r>
          </w:p>
        </w:tc>
        <w:tc>
          <w:tcPr>
            <w:tcW w:type="dxa" w:w="5040"/>
            <w:vAlign w:val="center"/>
          </w:tcPr>
          <w:p>
            <w:r>
              <w:t>Identity, market, and relevant operating context</w:t>
            </w:r>
          </w:p>
        </w:tc>
      </w:tr>
      <w:tr>
        <w:tc>
          <w:tcPr>
            <w:tcW w:type="dxa" w:w="5040"/>
            <w:vAlign w:val="center"/>
          </w:tcPr>
          <w:p>
            <w:r>
              <w:t>What problem exists?</w:t>
            </w:r>
          </w:p>
        </w:tc>
        <w:tc>
          <w:tcPr>
            <w:tcW w:type="dxa" w:w="5040"/>
            <w:vAlign w:val="center"/>
          </w:tcPr>
          <w:p>
            <w:r>
              <w:t>A specific, observable business problem</w:t>
            </w:r>
          </w:p>
        </w:tc>
      </w:tr>
      <w:tr>
        <w:tc>
          <w:tcPr>
            <w:tcW w:type="dxa" w:w="5040"/>
            <w:vAlign w:val="center"/>
          </w:tcPr>
          <w:p>
            <w:r>
              <w:t>What is the evidence?</w:t>
            </w:r>
          </w:p>
        </w:tc>
        <w:tc>
          <w:tcPr>
            <w:tcW w:type="dxa" w:w="5040"/>
            <w:vAlign w:val="center"/>
          </w:tcPr>
          <w:p>
            <w:r>
              <w:t>Traceable sources, dates, and corroboration</w:t>
            </w:r>
          </w:p>
        </w:tc>
      </w:tr>
      <w:tr>
        <w:tc>
          <w:tcPr>
            <w:tcW w:type="dxa" w:w="5040"/>
            <w:vAlign w:val="center"/>
          </w:tcPr>
          <w:p>
            <w:r>
              <w:t>What is the cost?</w:t>
            </w:r>
          </w:p>
        </w:tc>
        <w:tc>
          <w:tcPr>
            <w:tcW w:type="dxa" w:w="5040"/>
            <w:vAlign w:val="center"/>
          </w:tcPr>
          <w:p>
            <w:r>
              <w:t>Operational, financial, risk, or time impact—with assumptions labeled</w:t>
            </w:r>
          </w:p>
        </w:tc>
      </w:tr>
      <w:tr>
        <w:tc>
          <w:tcPr>
            <w:tcW w:type="dxa" w:w="5040"/>
            <w:vAlign w:val="center"/>
          </w:tcPr>
          <w:p>
            <w:r>
              <w:t>Who owns the decision?</w:t>
            </w:r>
          </w:p>
        </w:tc>
        <w:tc>
          <w:tcPr>
            <w:tcW w:type="dxa" w:w="5040"/>
            <w:vAlign w:val="center"/>
          </w:tcPr>
          <w:p>
            <w:r>
              <w:t>Likely accountable role, not an unverified personal claim</w:t>
            </w:r>
          </w:p>
        </w:tc>
      </w:tr>
      <w:tr>
        <w:tc>
          <w:tcPr>
            <w:tcW w:type="dxa" w:w="5040"/>
            <w:vAlign w:val="center"/>
          </w:tcPr>
          <w:p>
            <w:r>
              <w:t>How does the solution help?</w:t>
            </w:r>
          </w:p>
        </w:tc>
        <w:tc>
          <w:tcPr>
            <w:tcW w:type="dxa" w:w="5040"/>
            <w:vAlign w:val="center"/>
          </w:tcPr>
          <w:p>
            <w:r>
              <w:t>Clear fit between need and capability</w:t>
            </w:r>
          </w:p>
        </w:tc>
      </w:tr>
      <w:tr>
        <w:tc>
          <w:tcPr>
            <w:tcW w:type="dxa" w:w="5040"/>
            <w:vAlign w:val="center"/>
          </w:tcPr>
          <w:p>
            <w:r>
              <w:t>Why now?</w:t>
            </w:r>
          </w:p>
        </w:tc>
        <w:tc>
          <w:tcPr>
            <w:tcW w:type="dxa" w:w="5040"/>
            <w:vAlign w:val="center"/>
          </w:tcPr>
          <w:p>
            <w:r>
              <w:t>A time-bound trigger that changes urgency</w:t>
            </w:r>
          </w:p>
        </w:tc>
      </w:tr>
    </w:tbl>
    <w:p>
      <w:pPr>
        <w:pStyle w:val="Heading1"/>
      </w:pPr>
      <w:r>
        <w:t>5. Evidence rules</w:t>
      </w:r>
    </w:p>
    <w:p>
      <w:pPr>
        <w:pStyle w:val="ListBullet"/>
      </w:pPr>
      <w:r>
        <w:t>A signal starts an investigation; it does not prove intent.</w:t>
      </w:r>
    </w:p>
    <w:p>
      <w:pPr>
        <w:pStyle w:val="ListBullet"/>
      </w:pPr>
      <w:r>
        <w:t>Prefer direct and current sources. Record the URL/source, date, relevant excerpt or fact, and confidence.</w:t>
      </w:r>
    </w:p>
    <w:p>
      <w:pPr>
        <w:pStyle w:val="ListBullet"/>
      </w:pPr>
      <w:r>
        <w:t>Corroborate meaningful claims using an independent source when practical.</w:t>
      </w:r>
    </w:p>
    <w:p>
      <w:pPr>
        <w:pStyle w:val="ListBullet"/>
      </w:pPr>
      <w:r>
        <w:t>Label inferred cost, ownership, and urgency as hypotheses until verified.</w:t>
      </w:r>
    </w:p>
    <w:p>
      <w:pPr>
        <w:pStyle w:val="ListBullet"/>
      </w:pPr>
      <w:r>
        <w:t>Respect robots rules, access controls, licenses, source terms, privacy law, and organizational policy.</w:t>
      </w:r>
    </w:p>
    <w:p>
      <w:pPr>
        <w:pStyle w:val="Heading1"/>
      </w:pPr>
      <w:r>
        <w:t>6. SSS Brain and remote commands</w:t>
      </w:r>
    </w:p>
    <w:p>
      <w:r>
        <w:t>The intended connection is GitHub repository github.com/swadesoul/sssbrain, associated with sssbrain.lovable.app and sssbrain.live. A production connection should send authenticated, schema-validated commands to Demand Mo; authorize only allowed operations; require human approval for consequential actions; return a signed result; and retain an audit record. Website text documenting this architecture does not itself grant remote control.</w:t>
      </w:r>
    </w:p>
    <w:p>
      <w:pPr>
        <w:pStyle w:val="Heading1"/>
      </w:pPr>
      <w:r>
        <w:t>7. Mobile, keyboard, and accessibility</w:t>
      </w:r>
    </w:p>
    <w:p>
      <w:pPr>
        <w:pStyle w:val="ListBullet"/>
      </w:pPr>
      <w:r>
        <w:t>Use browser zoom without losing access to controls.</w:t>
      </w:r>
    </w:p>
    <w:p>
      <w:pPr>
        <w:pStyle w:val="ListBullet"/>
      </w:pPr>
      <w:r>
        <w:t>Tab through navigation, profile fields, dialog close control, and Ask Mo; a visible focus indicator should follow.</w:t>
      </w:r>
    </w:p>
    <w:p>
      <w:pPr>
        <w:pStyle w:val="ListBullet"/>
      </w:pPr>
      <w:r>
        <w:t>On a small screen, scroll within the dialog if necessary before submitting.</w:t>
      </w:r>
    </w:p>
    <w:p>
      <w:pPr>
        <w:pStyle w:val="ListBullet"/>
      </w:pPr>
      <w:r>
        <w:t>Use explicit field labels and error text; do not rely on color alone.</w:t>
      </w:r>
    </w:p>
    <w:p>
      <w:pPr>
        <w:pStyle w:val="Heading1"/>
      </w:pPr>
      <w:r>
        <w:t>8. Troubleshooting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B9FF22"/>
          </w:tcPr>
          <w:p>
            <w:r>
              <w:t>Problem</w:t>
            </w:r>
          </w:p>
        </w:tc>
        <w:tc>
          <w:tcPr>
            <w:tcW w:type="dxa" w:w="5040"/>
            <w:shd w:fill="B9FF22"/>
          </w:tcPr>
          <w:p>
            <w:r>
              <w:t>Resolution</w:t>
            </w:r>
          </w:p>
        </w:tc>
      </w:tr>
      <w:tr>
        <w:tc>
          <w:tcPr>
            <w:tcW w:type="dxa" w:w="5040"/>
            <w:vAlign w:val="center"/>
          </w:tcPr>
          <w:p>
            <w:r>
              <w:t>Page does not load</w:t>
            </w:r>
          </w:p>
        </w:tc>
        <w:tc>
          <w:tcPr>
            <w:tcW w:type="dxa" w:w="5040"/>
            <w:vAlign w:val="center"/>
          </w:tcPr>
          <w:p>
            <w:r>
              <w:t>Check connection; retry demandmo.biz; record timestamp and browser</w:t>
            </w:r>
          </w:p>
        </w:tc>
      </w:tr>
      <w:tr>
        <w:tc>
          <w:tcPr>
            <w:tcW w:type="dxa" w:w="5040"/>
            <w:vAlign w:val="center"/>
          </w:tcPr>
          <w:p>
            <w:r>
              <w:t>Section link misses target</w:t>
            </w:r>
          </w:p>
        </w:tc>
        <w:tc>
          <w:tcPr>
            <w:tcW w:type="dxa" w:w="5040"/>
            <w:vAlign w:val="center"/>
          </w:tcPr>
          <w:p>
            <w:r>
              <w:t>Scroll manually; refresh and retry once</w:t>
            </w:r>
          </w:p>
        </w:tc>
      </w:tr>
      <w:tr>
        <w:tc>
          <w:tcPr>
            <w:tcW w:type="dxa" w:w="5040"/>
            <w:vAlign w:val="center"/>
          </w:tcPr>
          <w:p>
            <w:r>
              <w:t>Profile dialog will not open</w:t>
            </w:r>
          </w:p>
        </w:tc>
        <w:tc>
          <w:tcPr>
            <w:tcW w:type="dxa" w:w="5040"/>
            <w:vAlign w:val="center"/>
          </w:tcPr>
          <w:p>
            <w:r>
              <w:t>Allow page scripts; refresh; try a supported current browser</w:t>
            </w:r>
          </w:p>
        </w:tc>
      </w:tr>
      <w:tr>
        <w:tc>
          <w:tcPr>
            <w:tcW w:type="dxa" w:w="5040"/>
            <w:vAlign w:val="center"/>
          </w:tcPr>
          <w:p>
            <w:r>
              <w:t>Profile will not save</w:t>
            </w:r>
          </w:p>
        </w:tc>
        <w:tc>
          <w:tcPr>
            <w:tcW w:type="dxa" w:w="5040"/>
            <w:vAlign w:val="center"/>
          </w:tcPr>
          <w:p>
            <w:r>
              <w:t>Resolve validation, confirm connection, retry once; do not include secrets in support evidence</w:t>
            </w:r>
          </w:p>
        </w:tc>
      </w:tr>
      <w:tr>
        <w:tc>
          <w:tcPr>
            <w:tcW w:type="dxa" w:w="5040"/>
            <w:vAlign w:val="center"/>
          </w:tcPr>
          <w:p>
            <w:r>
              <w:t>Ask Mo gives no answer</w:t>
            </w:r>
          </w:p>
        </w:tc>
        <w:tc>
          <w:tcPr>
            <w:tcW w:type="dxa" w:w="5040"/>
            <w:vAlign w:val="center"/>
          </w:tcPr>
          <w:p>
            <w:r>
              <w:t>Shorten the question, retry, then report exact prompt and time</w:t>
            </w:r>
          </w:p>
        </w:tc>
      </w:tr>
      <w:tr>
        <w:tc>
          <w:tcPr>
            <w:tcW w:type="dxa" w:w="5040"/>
            <w:vAlign w:val="center"/>
          </w:tcPr>
          <w:p>
            <w:r>
              <w:t>Download does not start</w:t>
            </w:r>
          </w:p>
        </w:tc>
        <w:tc>
          <w:tcPr>
            <w:tcW w:type="dxa" w:w="5040"/>
            <w:vAlign w:val="center"/>
          </w:tcPr>
          <w:p>
            <w:r>
              <w:t>Open link in a new tab or use browser Save Link As</w:t>
            </w:r>
          </w:p>
        </w:tc>
      </w:tr>
    </w:tbl>
    <w:p>
      <w:pPr>
        <w:pStyle w:val="Heading1"/>
      </w:pPr>
      <w:r>
        <w:t>9. Safe-use checklist</w:t>
      </w:r>
    </w:p>
    <w:p>
      <w:pPr>
        <w:pStyle w:val="ListBullet"/>
      </w:pPr>
      <w:r>
        <w:t>I used only approved public or licensed data.</w:t>
      </w:r>
    </w:p>
    <w:p>
      <w:pPr>
        <w:pStyle w:val="ListBullet"/>
      </w:pPr>
      <w:r>
        <w:t>I can trace important claims to evidence.</w:t>
      </w:r>
    </w:p>
    <w:p>
      <w:pPr>
        <w:pStyle w:val="ListBullet"/>
      </w:pPr>
      <w:r>
        <w:t>I labeled assumptions.</w:t>
      </w:r>
    </w:p>
    <w:p>
      <w:pPr>
        <w:pStyle w:val="ListBullet"/>
      </w:pPr>
      <w:r>
        <w:t>I did not add secrets or unnecessary personal data.</w:t>
      </w:r>
    </w:p>
    <w:p>
      <w:pPr>
        <w:pStyle w:val="ListBullet"/>
      </w:pPr>
      <w:r>
        <w:t>A human reviewed consequential outreach or remote action.</w:t>
      </w:r>
    </w:p>
    <w:p>
      <w:pPr>
        <w:pStyle w:val="ListBullet"/>
      </w:pPr>
      <w:r>
        <w:t>I recorded the profile or command reference.</w:t>
      </w:r>
    </w:p>
    <w:sectPr w:rsidR="00FC693F" w:rsidRPr="0006063C" w:rsidSect="00034616">
      <w:footerReference w:type="default" r:id="rId13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Demand Mo • Verified demand intelligence • demandmo.biz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62826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0110F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5C7000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0110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0110F"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